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浙江省民办教育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法规</w:t>
      </w:r>
      <w:r>
        <w:rPr>
          <w:rFonts w:hint="eastAsia" w:ascii="仿宋_GB2312" w:hAnsi="仿宋" w:eastAsia="仿宋_GB2312"/>
          <w:b/>
          <w:sz w:val="30"/>
          <w:szCs w:val="30"/>
        </w:rPr>
        <w:t>政策</w:t>
      </w:r>
      <w:bookmarkStart w:id="0" w:name="_GoBack"/>
      <w:bookmarkEnd w:id="0"/>
      <w:r>
        <w:rPr>
          <w:rFonts w:hint="eastAsia" w:ascii="仿宋_GB2312" w:hAnsi="仿宋" w:eastAsia="仿宋_GB2312"/>
          <w:b/>
          <w:sz w:val="30"/>
          <w:szCs w:val="30"/>
        </w:rPr>
        <w:t>培训班课程安排</w:t>
      </w:r>
    </w:p>
    <w:tbl>
      <w:tblPr>
        <w:tblStyle w:val="3"/>
        <w:tblW w:w="881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7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培训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  <w:lang w:eastAsia="zh-CN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7月9日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14:00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|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18:00</w:t>
            </w:r>
          </w:p>
        </w:tc>
        <w:tc>
          <w:tcPr>
            <w:tcW w:w="7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浙江省民办教育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法规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制定出台的几个重点问题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民办学校分类管理及《民办学校信息公开和信用管理办法》解读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《落实民办学校办学自主权实施办法》解读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7月10日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8:30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|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12:00</w:t>
            </w:r>
          </w:p>
        </w:tc>
        <w:tc>
          <w:tcPr>
            <w:tcW w:w="7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eastAsia="仿宋_GB2312"/>
                <w:sz w:val="30"/>
                <w:szCs w:val="30"/>
              </w:rPr>
              <w:t>《加强民办学校教师队伍建设实施办法》解读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《民办学校财务清算办法》解读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《公共财政扶持民办教育发展的实施办法》及《民办学校财务管理办法》解读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E68A4"/>
    <w:rsid w:val="0F9D639C"/>
    <w:rsid w:val="636E68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2018-06-08T02:16:00Z</dcterms:created>
  <dc:creator>吴华</dc:creator>
  <cp:lastModifiedBy>吴华</cp:lastModifiedBy>
  <dcterms:modified xsi:type="dcterms:W3CDTF">2018-06-08T02:18:13Z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